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36E" w:rsidRDefault="00890EA3" w:rsidP="00A249DA">
      <w:pPr>
        <w:pStyle w:val="Titre1"/>
      </w:pPr>
      <w:r>
        <w:t>Quand la quantification se prend pour la qualité ?</w:t>
      </w:r>
    </w:p>
    <w:p w:rsidR="00AB2498" w:rsidRDefault="00AB2498" w:rsidP="00890EA3">
      <w:pPr>
        <w:outlineLvl w:val="0"/>
      </w:pPr>
    </w:p>
    <w:p w:rsidR="00890EA3" w:rsidRDefault="00890EA3"/>
    <w:p w:rsidR="00890EA3" w:rsidRDefault="00890EA3" w:rsidP="00BA7126">
      <w:pPr>
        <w:pStyle w:val="Corpsdetexte"/>
        <w:ind w:left="1080"/>
        <w:jc w:val="both"/>
      </w:pPr>
      <w:r>
        <w:t>« Selon l’esprit du temps, tout, en ce monde serait évaluable. Ce qui se dérobe à l’évaluation serait donc suspect de collusion avec la médiocrité ou l’obscurantisme…</w:t>
      </w:r>
    </w:p>
    <w:p w:rsidR="00890EA3" w:rsidRDefault="00890EA3" w:rsidP="00BA7126">
      <w:pPr>
        <w:ind w:left="1080"/>
        <w:jc w:val="both"/>
        <w:rPr>
          <w:i/>
          <w:iCs/>
        </w:rPr>
      </w:pPr>
      <w:r>
        <w:rPr>
          <w:i/>
          <w:iCs/>
        </w:rPr>
        <w:t>Pourtant, l’investigation clinique du travail suggère qu’une part essentielle de l’activité humaine relève de processus qui ne sont pas observables et résistent donc à toute évaluation objective….</w:t>
      </w:r>
    </w:p>
    <w:p w:rsidR="00890EA3" w:rsidRDefault="00890EA3" w:rsidP="00BA7126">
      <w:pPr>
        <w:ind w:left="1080"/>
        <w:jc w:val="both"/>
        <w:rPr>
          <w:i/>
          <w:iCs/>
        </w:rPr>
      </w:pPr>
      <w:r>
        <w:rPr>
          <w:i/>
          <w:iCs/>
        </w:rPr>
        <w:t>Source de difficultés qui au</w:t>
      </w:r>
      <w:bookmarkStart w:id="0" w:name="_GoBack"/>
      <w:bookmarkEnd w:id="0"/>
      <w:r>
        <w:rPr>
          <w:i/>
          <w:iCs/>
        </w:rPr>
        <w:t>gmentent la charge de travail ; l’évaluation des performances a aussi des effets pervers (sentiments d’injustice ou conduites déloyales entre collègues). »</w:t>
      </w:r>
    </w:p>
    <w:p w:rsidR="00890EA3" w:rsidRDefault="00890EA3" w:rsidP="00BA7126">
      <w:pPr>
        <w:pStyle w:val="Corpsdetexte2"/>
        <w:ind w:left="1080"/>
        <w:jc w:val="both"/>
      </w:pPr>
      <w:r>
        <w:t>Christophe DEJOURS</w:t>
      </w:r>
      <w:r w:rsidR="00235E67">
        <w:rPr>
          <w:rStyle w:val="Marquenotebasdepage"/>
        </w:rPr>
        <w:footnoteReference w:id="1"/>
      </w:r>
    </w:p>
    <w:p w:rsidR="00890EA3" w:rsidRDefault="00890EA3" w:rsidP="00890EA3">
      <w:pPr>
        <w:pStyle w:val="Corpsdetexte2"/>
        <w:ind w:left="1080"/>
      </w:pPr>
    </w:p>
    <w:p w:rsidR="00890EA3" w:rsidRDefault="00890EA3" w:rsidP="00890EA3">
      <w:pPr>
        <w:pStyle w:val="Corpsdetexte2"/>
        <w:ind w:left="1080"/>
      </w:pPr>
    </w:p>
    <w:p w:rsidR="00BA7126" w:rsidRDefault="00890EA3" w:rsidP="00890EA3">
      <w:pPr>
        <w:pStyle w:val="Corpsdetexte2"/>
        <w:ind w:left="1080"/>
        <w:rPr>
          <w:sz w:val="22"/>
          <w:szCs w:val="22"/>
        </w:rPr>
      </w:pPr>
      <w:r w:rsidRPr="00BA7126">
        <w:rPr>
          <w:sz w:val="22"/>
          <w:szCs w:val="22"/>
        </w:rPr>
        <w:t xml:space="preserve">Le </w:t>
      </w:r>
      <w:r w:rsidRPr="00BA7126">
        <w:rPr>
          <w:b/>
          <w:sz w:val="22"/>
          <w:szCs w:val="22"/>
        </w:rPr>
        <w:t>bien-vivre</w:t>
      </w:r>
      <w:r w:rsidRPr="00BA7126">
        <w:rPr>
          <w:sz w:val="22"/>
          <w:szCs w:val="22"/>
        </w:rPr>
        <w:t xml:space="preserve"> s’évalue-t-il ?</w:t>
      </w:r>
      <w:r w:rsidR="00A16440" w:rsidRPr="00BA7126">
        <w:rPr>
          <w:sz w:val="22"/>
          <w:szCs w:val="22"/>
        </w:rPr>
        <w:t xml:space="preserve"> La </w:t>
      </w:r>
      <w:r w:rsidR="00A16440" w:rsidRPr="00BA7126">
        <w:rPr>
          <w:b/>
          <w:sz w:val="22"/>
          <w:szCs w:val="22"/>
        </w:rPr>
        <w:t>quantification</w:t>
      </w:r>
      <w:r w:rsidR="00A16440" w:rsidRPr="00BA7126">
        <w:rPr>
          <w:sz w:val="22"/>
          <w:szCs w:val="22"/>
        </w:rPr>
        <w:t xml:space="preserve"> des actes rend-t-elle compte de la </w:t>
      </w:r>
      <w:r w:rsidR="00A16440" w:rsidRPr="00BA7126">
        <w:rPr>
          <w:b/>
          <w:sz w:val="22"/>
          <w:szCs w:val="22"/>
        </w:rPr>
        <w:t>qualité</w:t>
      </w:r>
      <w:r w:rsidR="00A16440" w:rsidRPr="00BA7126">
        <w:rPr>
          <w:sz w:val="22"/>
          <w:szCs w:val="22"/>
        </w:rPr>
        <w:t xml:space="preserve"> ?              Le psycho-médico-social se laisse-t-il atteindre par la </w:t>
      </w:r>
      <w:r w:rsidR="00A16440" w:rsidRPr="00BA7126">
        <w:rPr>
          <w:b/>
          <w:sz w:val="22"/>
          <w:szCs w:val="22"/>
        </w:rPr>
        <w:t>quantophrénie</w:t>
      </w:r>
      <w:r w:rsidR="00A16440" w:rsidRPr="00BA7126">
        <w:rPr>
          <w:sz w:val="22"/>
          <w:szCs w:val="22"/>
        </w:rPr>
        <w:t xml:space="preserve"> (obsession de la mesure) ?   </w:t>
      </w:r>
    </w:p>
    <w:p w:rsidR="00890EA3" w:rsidRPr="00BA7126" w:rsidRDefault="00A16440" w:rsidP="00890EA3">
      <w:pPr>
        <w:pStyle w:val="Corpsdetexte2"/>
        <w:ind w:left="1080"/>
        <w:rPr>
          <w:sz w:val="22"/>
          <w:szCs w:val="22"/>
        </w:rPr>
      </w:pPr>
      <w:r w:rsidRPr="00BA7126">
        <w:rPr>
          <w:sz w:val="22"/>
          <w:szCs w:val="22"/>
        </w:rPr>
        <w:t xml:space="preserve">Le recours à tout va  à l’évaluation camoufle-t-il un </w:t>
      </w:r>
      <w:r w:rsidRPr="00BA7126">
        <w:rPr>
          <w:b/>
          <w:sz w:val="22"/>
          <w:szCs w:val="22"/>
        </w:rPr>
        <w:t>déficit du rapport au réel </w:t>
      </w:r>
      <w:r w:rsidRPr="00BA7126">
        <w:rPr>
          <w:sz w:val="22"/>
          <w:szCs w:val="22"/>
        </w:rPr>
        <w:t xml:space="preserve">? </w:t>
      </w:r>
    </w:p>
    <w:p w:rsidR="00A16440" w:rsidRPr="00BA7126" w:rsidRDefault="00A16440" w:rsidP="00890EA3">
      <w:pPr>
        <w:pStyle w:val="Corpsdetexte2"/>
        <w:ind w:left="1080"/>
        <w:rPr>
          <w:sz w:val="22"/>
          <w:szCs w:val="22"/>
        </w:rPr>
      </w:pPr>
      <w:r w:rsidRPr="00BA7126">
        <w:rPr>
          <w:sz w:val="22"/>
          <w:szCs w:val="22"/>
        </w:rPr>
        <w:t xml:space="preserve">Le contexte de crise économique </w:t>
      </w:r>
      <w:r w:rsidR="00AA3524" w:rsidRPr="00BA7126">
        <w:rPr>
          <w:sz w:val="22"/>
          <w:szCs w:val="22"/>
        </w:rPr>
        <w:t xml:space="preserve">est-il une opportunité pour se défaire des </w:t>
      </w:r>
      <w:r w:rsidR="00AA3524" w:rsidRPr="00BA7126">
        <w:rPr>
          <w:b/>
          <w:sz w:val="22"/>
          <w:szCs w:val="22"/>
        </w:rPr>
        <w:t>débats sur les valeurs </w:t>
      </w:r>
      <w:r w:rsidR="00AA3524" w:rsidRPr="00BA7126">
        <w:rPr>
          <w:sz w:val="22"/>
          <w:szCs w:val="22"/>
        </w:rPr>
        <w:t>?</w:t>
      </w:r>
    </w:p>
    <w:p w:rsidR="00AA3524" w:rsidRDefault="00AA3524" w:rsidP="00890EA3">
      <w:pPr>
        <w:pStyle w:val="Corpsdetexte2"/>
        <w:ind w:left="1080"/>
        <w:rPr>
          <w:sz w:val="22"/>
          <w:szCs w:val="22"/>
        </w:rPr>
      </w:pPr>
      <w:r w:rsidRPr="00BA7126">
        <w:rPr>
          <w:sz w:val="22"/>
          <w:szCs w:val="22"/>
        </w:rPr>
        <w:t xml:space="preserve">La </w:t>
      </w:r>
      <w:r w:rsidRPr="00BA7126">
        <w:rPr>
          <w:b/>
          <w:sz w:val="22"/>
          <w:szCs w:val="22"/>
        </w:rPr>
        <w:t>mesure</w:t>
      </w:r>
      <w:r w:rsidRPr="00BA7126">
        <w:rPr>
          <w:sz w:val="22"/>
          <w:szCs w:val="22"/>
        </w:rPr>
        <w:t xml:space="preserve">, qui n’est qu’un </w:t>
      </w:r>
      <w:r w:rsidRPr="00BA7126">
        <w:rPr>
          <w:b/>
          <w:sz w:val="22"/>
          <w:szCs w:val="22"/>
        </w:rPr>
        <w:t>outil</w:t>
      </w:r>
      <w:r w:rsidRPr="00BA7126">
        <w:rPr>
          <w:sz w:val="22"/>
          <w:szCs w:val="22"/>
        </w:rPr>
        <w:t xml:space="preserve">, ne s’édifie-t-elle pas en </w:t>
      </w:r>
      <w:r w:rsidRPr="00BA7126">
        <w:rPr>
          <w:b/>
          <w:sz w:val="22"/>
          <w:szCs w:val="22"/>
        </w:rPr>
        <w:t>valeur</w:t>
      </w:r>
      <w:r w:rsidRPr="00BA7126">
        <w:rPr>
          <w:sz w:val="22"/>
          <w:szCs w:val="22"/>
        </w:rPr>
        <w:t> ?</w:t>
      </w:r>
    </w:p>
    <w:p w:rsidR="00BA7126" w:rsidRDefault="00BA7126" w:rsidP="00890EA3">
      <w:pPr>
        <w:pStyle w:val="Corpsdetexte2"/>
        <w:ind w:left="1080"/>
      </w:pPr>
    </w:p>
    <w:p w:rsidR="00890EA3" w:rsidRDefault="00890EA3"/>
    <w:p w:rsidR="00AA3524" w:rsidRDefault="00430D69">
      <w:r>
        <w:t>Patrick VIVERET</w:t>
      </w:r>
      <w:r w:rsidR="00235E67">
        <w:rPr>
          <w:rStyle w:val="Marquenotebasdepage"/>
        </w:rPr>
        <w:footnoteReference w:id="2"/>
      </w:r>
      <w:r>
        <w:t xml:space="preserve"> nous invite à sortir de la démesure. « </w:t>
      </w:r>
      <w:r w:rsidRPr="00BA7126">
        <w:rPr>
          <w:i/>
        </w:rPr>
        <w:t xml:space="preserve">Pour cela, il faut revoir </w:t>
      </w:r>
      <w:r w:rsidR="00590362" w:rsidRPr="00BA7126">
        <w:rPr>
          <w:i/>
        </w:rPr>
        <w:t>l’usage des outils quantitatifs.</w:t>
      </w:r>
      <w:r w:rsidRPr="00BA7126">
        <w:rPr>
          <w:i/>
        </w:rPr>
        <w:t xml:space="preserve"> Comme la </w:t>
      </w:r>
      <w:r w:rsidR="005D7417" w:rsidRPr="00BA7126">
        <w:rPr>
          <w:i/>
        </w:rPr>
        <w:t>monnaie qui d’outil dans les échanges de richesse est élevé</w:t>
      </w:r>
      <w:r w:rsidR="00BA7126">
        <w:rPr>
          <w:i/>
        </w:rPr>
        <w:t>e</w:t>
      </w:r>
      <w:r w:rsidR="005D7417" w:rsidRPr="00BA7126">
        <w:rPr>
          <w:i/>
        </w:rPr>
        <w:t xml:space="preserve"> au rang de richesse. Une monnaie, qui d’outil de mesure devient qualité. Une inversion qui signe la fin d’un monde</w:t>
      </w:r>
      <w:r w:rsidR="00235E67" w:rsidRPr="00BA7126">
        <w:rPr>
          <w:i/>
        </w:rPr>
        <w:t xml:space="preserve"> (dérégulé)</w:t>
      </w:r>
      <w:r w:rsidR="005D7417" w:rsidRPr="00BA7126">
        <w:rPr>
          <w:i/>
        </w:rPr>
        <w:t xml:space="preserve"> quand celui-ci ne peut plus répondre aux besoins de solidarité et d’espoir d’un avenir. </w:t>
      </w:r>
      <w:r w:rsidR="00235E67" w:rsidRPr="00BA7126">
        <w:rPr>
          <w:i/>
        </w:rPr>
        <w:t> </w:t>
      </w:r>
      <w:r w:rsidR="005D7417" w:rsidRPr="00BA7126">
        <w:rPr>
          <w:i/>
        </w:rPr>
        <w:t>La crise financ</w:t>
      </w:r>
      <w:r w:rsidR="004877F2" w:rsidRPr="00BA7126">
        <w:rPr>
          <w:i/>
        </w:rPr>
        <w:t>i</w:t>
      </w:r>
      <w:r w:rsidR="005D7417" w:rsidRPr="00BA7126">
        <w:rPr>
          <w:i/>
        </w:rPr>
        <w:t>ère connaitra de</w:t>
      </w:r>
      <w:r w:rsidR="00633863" w:rsidRPr="00BA7126">
        <w:rPr>
          <w:i/>
        </w:rPr>
        <w:t>s</w:t>
      </w:r>
      <w:r w:rsidR="005D7417" w:rsidRPr="00BA7126">
        <w:rPr>
          <w:i/>
        </w:rPr>
        <w:t xml:space="preserve"> répliques </w:t>
      </w:r>
      <w:r w:rsidR="004877F2" w:rsidRPr="00BA7126">
        <w:rPr>
          <w:i/>
        </w:rPr>
        <w:t>sismiques</w:t>
      </w:r>
      <w:r w:rsidR="00235E67" w:rsidRPr="00BA7126">
        <w:rPr>
          <w:i/>
        </w:rPr>
        <w:t> »</w:t>
      </w:r>
      <w:r w:rsidR="004877F2">
        <w:t xml:space="preserve">, nous prévient-il. C’est le sort des sociétés qui élèvent l’instrument de mesure en but en soi. </w:t>
      </w:r>
    </w:p>
    <w:p w:rsidR="004877F2" w:rsidRDefault="004877F2">
      <w:r>
        <w:t>Il en va de même pour ce qui est du bien vivre. Il nous met en garde contre l’application du thermomètre productif dans le social</w:t>
      </w:r>
      <w:r w:rsidR="001B3C09">
        <w:t xml:space="preserve"> </w:t>
      </w:r>
      <w:r>
        <w:t>qui pourrait bien nous conduire à des drames lorsque la « démesure » nous fait passer à côté de la qualité d’</w:t>
      </w:r>
      <w:r w:rsidR="001B3C09">
        <w:t>être</w:t>
      </w:r>
      <w:r>
        <w:t xml:space="preserve"> qu’il nous faut </w:t>
      </w:r>
      <w:r w:rsidR="001B3C09">
        <w:t>élever</w:t>
      </w:r>
      <w:r>
        <w:t>.</w:t>
      </w:r>
    </w:p>
    <w:p w:rsidR="004877F2" w:rsidRDefault="004877F2">
      <w:r>
        <w:t>C’est que dans le relationnel</w:t>
      </w:r>
      <w:r w:rsidR="001B3C09">
        <w:t xml:space="preserve">, c’est la </w:t>
      </w:r>
      <w:r w:rsidR="00590362">
        <w:t>qualité qui domine à</w:t>
      </w:r>
      <w:r w:rsidR="009B596A">
        <w:t xml:space="preserve"> la condition</w:t>
      </w:r>
      <w:r w:rsidR="001B3C09">
        <w:t xml:space="preserve"> que diminue le quantitatif. Ramener la quantification à son état d’outil nous laissera apparaître la qualité.</w:t>
      </w:r>
    </w:p>
    <w:p w:rsidR="00590362" w:rsidRDefault="00590362"/>
    <w:p w:rsidR="001B3C09" w:rsidRDefault="001B3C09">
      <w:r>
        <w:t xml:space="preserve">La qualité de présence à la vie devrait être le moteur de notre secteur. Dans un monde dominé par la peur, l’acte de résistance s’origine dans l’entraide et la joie de vivre. La lutte contre la maltraitance en passe par là. </w:t>
      </w:r>
      <w:r w:rsidR="00A249DA">
        <w:t>P</w:t>
      </w:r>
      <w:r w:rsidR="00235E67">
        <w:t>.</w:t>
      </w:r>
      <w:r w:rsidR="00A249DA">
        <w:t xml:space="preserve"> </w:t>
      </w:r>
      <w:r>
        <w:t>Viveret poursuit en déclarant que « </w:t>
      </w:r>
      <w:r w:rsidRPr="00BA7126">
        <w:rPr>
          <w:i/>
        </w:rPr>
        <w:t>choisir d’être he</w:t>
      </w:r>
      <w:r w:rsidR="00235E67" w:rsidRPr="00BA7126">
        <w:rPr>
          <w:i/>
        </w:rPr>
        <w:t>ureux est un acte de résistance</w:t>
      </w:r>
      <w:r>
        <w:t>».</w:t>
      </w:r>
    </w:p>
    <w:p w:rsidR="007D1128" w:rsidRDefault="00E218CE">
      <w:r>
        <w:t xml:space="preserve">L’ancien monde que nous avons à abandonner vit de la peur qu’il entretient. (Cfr. Crise financière et monétaire évoqué plus haut). Le nouveau monde qui tarde à venir a besoin </w:t>
      </w:r>
    </w:p>
    <w:p w:rsidR="007D1128" w:rsidRDefault="007D1128"/>
    <w:p w:rsidR="00E218CE" w:rsidRDefault="00E218CE">
      <w:r>
        <w:lastRenderedPageBreak/>
        <w:t xml:space="preserve">de joie de vivre. </w:t>
      </w:r>
      <w:r w:rsidR="00BA7126">
        <w:t>« </w:t>
      </w:r>
      <w:r w:rsidRPr="00BA7126">
        <w:rPr>
          <w:i/>
        </w:rPr>
        <w:t>Nous avons le devoir de créer du mieux vivre, à nous organiser pour nous faire du bien</w:t>
      </w:r>
      <w:r w:rsidR="00BA7126">
        <w:t> »</w:t>
      </w:r>
      <w:r>
        <w:t xml:space="preserve"> déclare-t-il. Alors qu’une trop grande partie de nos énergies, mobilisées par les forces</w:t>
      </w:r>
      <w:r w:rsidR="00633863">
        <w:t xml:space="preserve"> de l’ancien monde nous focalise</w:t>
      </w:r>
      <w:r>
        <w:t xml:space="preserve"> sur la quantification, sur la mesure de notre travail.</w:t>
      </w:r>
      <w:r w:rsidR="009B596A">
        <w:t xml:space="preserve"> Et donc, sur l’exploitation.</w:t>
      </w:r>
    </w:p>
    <w:p w:rsidR="00E218CE" w:rsidRDefault="00E218CE"/>
    <w:p w:rsidR="00E218CE" w:rsidRDefault="00E218CE">
      <w:r>
        <w:t>Il nous invite à changer de posture, comme</w:t>
      </w:r>
      <w:r w:rsidR="00633863">
        <w:t xml:space="preserve"> dans le système financier régi</w:t>
      </w:r>
      <w:r>
        <w:t xml:space="preserve"> par un système bancaire</w:t>
      </w:r>
      <w:r w:rsidR="009175A2">
        <w:t xml:space="preserve"> « réservé</w:t>
      </w:r>
      <w:r w:rsidR="009B596A">
        <w:t>, propriété</w:t>
      </w:r>
      <w:r w:rsidR="009175A2">
        <w:t> </w:t>
      </w:r>
      <w:r w:rsidR="00590362">
        <w:t>de quelques uns</w:t>
      </w:r>
      <w:r w:rsidR="009175A2">
        <w:t>»</w:t>
      </w:r>
      <w:r w:rsidR="00590362">
        <w:t>.  I</w:t>
      </w:r>
      <w:r>
        <w:t>l nous convie à abandonner les banques et à nous é</w:t>
      </w:r>
      <w:r w:rsidR="00633863">
        <w:t>riger en crédit mutuel. Il est question de reprendre</w:t>
      </w:r>
      <w:r>
        <w:t xml:space="preserve"> en main du pouvoir </w:t>
      </w:r>
      <w:r w:rsidR="009175A2">
        <w:t>plutôt</w:t>
      </w:r>
      <w:r>
        <w:t xml:space="preserve"> que de nous laisser atteindre par l’énergie du désespoir.</w:t>
      </w:r>
    </w:p>
    <w:p w:rsidR="009175A2" w:rsidRDefault="009175A2"/>
    <w:p w:rsidR="009175A2" w:rsidRDefault="009175A2">
      <w:r>
        <w:t>Le secteur du psycho-médico-social pèse-t-il assez sur la santé mentale des masses</w:t>
      </w:r>
      <w:r w:rsidR="00BA7126">
        <w:t> ?</w:t>
      </w:r>
      <w:r>
        <w:t xml:space="preserve"> Ne s’accommode-t-il  pas d’une participation à la survie de l’ancien monde en acceptant de surinvestir les outils de mesure</w:t>
      </w:r>
      <w:r w:rsidR="00BA7126">
        <w:t> ?</w:t>
      </w:r>
      <w:r>
        <w:t xml:space="preserve">  Un contexte de peur qui autorise la diminution des moyens et l’obligation de faire mieux avec moins. Un discours sur le risque de  la perte des moyens</w:t>
      </w:r>
      <w:r w:rsidR="009B596A">
        <w:t xml:space="preserve"> affectés au social,</w:t>
      </w:r>
      <w:r>
        <w:t xml:space="preserve"> qui nous fait changer de posture en </w:t>
      </w:r>
      <w:r w:rsidR="009B596A">
        <w:t>nous rendant à notre insu,</w:t>
      </w:r>
      <w:r>
        <w:t xml:space="preserve"> complice de la peur avec lequel l’ancien monde nous domine encore. </w:t>
      </w:r>
    </w:p>
    <w:p w:rsidR="009175A2" w:rsidRDefault="009175A2"/>
    <w:p w:rsidR="009175A2" w:rsidRDefault="009175A2">
      <w:r>
        <w:t>Le recours à la quantification à to</w:t>
      </w:r>
      <w:r w:rsidR="00633863">
        <w:t>ut craint génère</w:t>
      </w:r>
      <w:r>
        <w:t xml:space="preserve"> les peurs avec lesquelles nous nous exploitons. Dans cette posture nous sommes nos propres exploiteurs. L’instrumenta</w:t>
      </w:r>
      <w:r w:rsidR="00B32901">
        <w:t xml:space="preserve">lisation de la mesure génère de la suspicion, de la peur et nous fait accepter la participation à </w:t>
      </w:r>
      <w:r w:rsidR="00235E67">
        <w:t>une course à l’acte. Mais à sur</w:t>
      </w:r>
      <w:r w:rsidR="00B32901">
        <w:t>exploiter nos machines, l’at</w:t>
      </w:r>
      <w:r w:rsidR="00633863">
        <w:t>tention qu’elles nous demandent</w:t>
      </w:r>
      <w:r w:rsidR="00B32901">
        <w:t xml:space="preserve"> nous distrait de la qualité relationnelle évoquée plus haut. Dans le même temps, la course à la</w:t>
      </w:r>
      <w:r w:rsidR="00633863">
        <w:t xml:space="preserve"> reconnaissance et au  maintien</w:t>
      </w:r>
      <w:r w:rsidR="00B32901">
        <w:t xml:space="preserve"> de notre subvention</w:t>
      </w:r>
      <w:r w:rsidR="009B596A">
        <w:t>,</w:t>
      </w:r>
      <w:r w:rsidR="00B32901">
        <w:t xml:space="preserve"> fait de nous des collaborateurs de cet ancien monde lent à mourir d’avoir confondu quantité et qualité. </w:t>
      </w:r>
    </w:p>
    <w:p w:rsidR="00B32901" w:rsidRDefault="00B32901">
      <w:r>
        <w:t>Nous avons à multiplier les actes de résistances si nous souhaitons entrer avec nos « </w:t>
      </w:r>
      <w:r w:rsidR="00BA7126">
        <w:t>bénéficiaires » dans un monde où</w:t>
      </w:r>
      <w:r>
        <w:t xml:space="preserve"> la politique du temps de vie prime sur des politiques du temps de travail. Prenons en compte que not</w:t>
      </w:r>
      <w:r w:rsidR="00BA7126">
        <w:t>re temps de vie représente 7/8</w:t>
      </w:r>
      <w:r w:rsidR="00BA7126" w:rsidRPr="00BA7126">
        <w:rPr>
          <w:vertAlign w:val="superscript"/>
        </w:rPr>
        <w:t>ème</w:t>
      </w:r>
      <w:r w:rsidR="00BA7126">
        <w:t xml:space="preserve"> </w:t>
      </w:r>
      <w:r>
        <w:t xml:space="preserve"> de notre vie de la naissance à la mort</w:t>
      </w:r>
      <w:r w:rsidR="002F7AA1">
        <w:t>, sommeil compris.</w:t>
      </w:r>
    </w:p>
    <w:p w:rsidR="002F7AA1" w:rsidRDefault="002F7AA1"/>
    <w:p w:rsidR="002F7AA1" w:rsidRDefault="002F7AA1">
      <w:r>
        <w:t>Les procédures et le nombre d’actes disent assez peu de choses de la qualité de vie. L’usage des évaluations de la qualité par des moye</w:t>
      </w:r>
      <w:r w:rsidR="00BA7126">
        <w:t>ns mis en œuvre sur les chaî</w:t>
      </w:r>
      <w:r>
        <w:t>nes de production n’a d’autres effets que de maintenir un niveau de peur</w:t>
      </w:r>
      <w:r w:rsidR="009B596A">
        <w:t xml:space="preserve"> qui nous asservit</w:t>
      </w:r>
      <w:r>
        <w:t xml:space="preserve">. Les contextes </w:t>
      </w:r>
      <w:r w:rsidR="00235E67">
        <w:t>économique</w:t>
      </w:r>
      <w:r w:rsidR="00CA62B7">
        <w:t>s</w:t>
      </w:r>
      <w:r w:rsidR="009B596A">
        <w:t xml:space="preserve"> et écologique</w:t>
      </w:r>
      <w:r w:rsidR="00CA62B7">
        <w:t>s</w:t>
      </w:r>
      <w:r w:rsidR="009B596A">
        <w:t xml:space="preserve">, la </w:t>
      </w:r>
      <w:r>
        <w:t xml:space="preserve"> crise, nous font avaler les couleuvres que nous participons à élever. Sortir de la peur nécessite d’établir des circuits, des alliances tant dans les administrations, les cabinets et les services qui décident d’enrichir la vie plutô</w:t>
      </w:r>
      <w:r w:rsidR="009B596A">
        <w:t>t que de</w:t>
      </w:r>
      <w:r>
        <w:t xml:space="preserve"> juguler les peurs. De cette démarche, le soin de </w:t>
      </w:r>
      <w:r w:rsidR="00633863">
        <w:t>nous comme des publics auxquel</w:t>
      </w:r>
      <w:r>
        <w:t>s nous portons de l’ass</w:t>
      </w:r>
      <w:r w:rsidR="006D189D">
        <w:t>istance, émergera le monde nouveau édifié sur des valeurs débattues plutôt que sur un partage inégal des richesses comme c’est le cas aujourd’hui. Cette démarche nous inscrit dans une résistance active pour faire front aux logiques économiques d’aujourd’hui</w:t>
      </w:r>
      <w:r w:rsidR="00CA62B7">
        <w:t>, où</w:t>
      </w:r>
      <w:r w:rsidR="00CB351F">
        <w:t xml:space="preserve"> un petit effectif de grosses fortunes</w:t>
      </w:r>
      <w:r w:rsidR="006D189D">
        <w:t xml:space="preserve"> se partage la richesse mondiale. Il faut de la peur </w:t>
      </w:r>
      <w:r w:rsidR="00CB351F">
        <w:t>pour maintenir cet état de fait</w:t>
      </w:r>
      <w:r w:rsidR="006D189D">
        <w:t>. Il est curieux que nous participions à cette posture destructrice.</w:t>
      </w:r>
    </w:p>
    <w:p w:rsidR="006D189D" w:rsidRDefault="006D189D"/>
    <w:p w:rsidR="007D1128" w:rsidRDefault="007D1128"/>
    <w:p w:rsidR="007D1128" w:rsidRDefault="007D1128"/>
    <w:p w:rsidR="007D1128" w:rsidRDefault="007D1128"/>
    <w:p w:rsidR="007D1128" w:rsidRDefault="007D1128"/>
    <w:p w:rsidR="006D189D" w:rsidRDefault="006D189D">
      <w:r>
        <w:t>Dans les domaines de l’éducation, du social, du médico-social, de la santé et de la santé mentale, plus que jamais nous devons intégrer la dimension politique de notre travail. Nous devons l’adosser à la clinique et à l’éthique. Sans quoi, cet ancien monde nous use en la faveur de sa survie.</w:t>
      </w:r>
    </w:p>
    <w:p w:rsidR="006D189D" w:rsidRDefault="006D189D"/>
    <w:p w:rsidR="006D189D" w:rsidRDefault="006D189D">
      <w:r>
        <w:t xml:space="preserve">Nous ne pourrons faire fi des débats sur les valeurs. </w:t>
      </w:r>
      <w:r w:rsidR="00A67374">
        <w:t>Si c</w:t>
      </w:r>
      <w:r>
        <w:t xml:space="preserve">es débats sont </w:t>
      </w:r>
      <w:r w:rsidR="00A67374">
        <w:t>Politiques,  ils sont à animer hors des partis politiques. Ces questions transcendent les idéologies. Est</w:t>
      </w:r>
      <w:r w:rsidR="00CA62B7">
        <w:t>-</w:t>
      </w:r>
      <w:r w:rsidR="00A67374">
        <w:t>il pensable de destiner son temps de travail, 1/8</w:t>
      </w:r>
      <w:r w:rsidR="00CA62B7" w:rsidRPr="00CA62B7">
        <w:rPr>
          <w:vertAlign w:val="superscript"/>
        </w:rPr>
        <w:t>ème</w:t>
      </w:r>
      <w:r w:rsidR="00CA62B7">
        <w:t xml:space="preserve"> </w:t>
      </w:r>
      <w:r w:rsidR="00A67374">
        <w:t xml:space="preserve">de notre vie, à poursuivre des actions qui retardent l’arrivée d’un nouveau monde. </w:t>
      </w:r>
    </w:p>
    <w:p w:rsidR="00A67374" w:rsidRDefault="00A67374">
      <w:r>
        <w:t>Comme le dit P.V</w:t>
      </w:r>
      <w:r w:rsidR="00CB351F">
        <w:t>iveret, cette société présente</w:t>
      </w:r>
      <w:r>
        <w:t xml:space="preserve"> de </w:t>
      </w:r>
      <w:r w:rsidR="00CB351F">
        <w:t>nombreux signes de fin de règne</w:t>
      </w:r>
      <w:r>
        <w:t xml:space="preserve">. </w:t>
      </w:r>
    </w:p>
    <w:p w:rsidR="00A67374" w:rsidRDefault="00A67374">
      <w:r>
        <w:t>Il m’est insupportable d’imagine</w:t>
      </w:r>
      <w:r w:rsidR="009B596A">
        <w:t>r que nous participons à son main</w:t>
      </w:r>
      <w:r w:rsidR="00CB351F">
        <w:t>tien</w:t>
      </w:r>
      <w:r w:rsidR="00D23E6C">
        <w:t>.  Nous sommes détournés</w:t>
      </w:r>
      <w:r w:rsidR="009B596A">
        <w:t xml:space="preserve"> de nos</w:t>
      </w:r>
      <w:r>
        <w:t xml:space="preserve"> ambitions de servir l’accès à une meilleur</w:t>
      </w:r>
      <w:r w:rsidR="00CA62B7">
        <w:t>e</w:t>
      </w:r>
      <w:r>
        <w:t xml:space="preserve"> qualité de vie</w:t>
      </w:r>
      <w:r w:rsidR="00D23E6C">
        <w:t>, par l’application intempestive</w:t>
      </w:r>
      <w:r w:rsidR="009B596A">
        <w:t xml:space="preserve"> d’outils de mesure censés garantir le mieux être de</w:t>
      </w:r>
      <w:r w:rsidR="00590362">
        <w:t xml:space="preserve"> la population et donc, de nous même.</w:t>
      </w:r>
    </w:p>
    <w:p w:rsidR="00B6479E" w:rsidRDefault="00B6479E"/>
    <w:p w:rsidR="00B6479E" w:rsidRDefault="00175AA1">
      <w:r>
        <w:t>Il est à craindre que l’administration qui nous délivre</w:t>
      </w:r>
      <w:r w:rsidR="00B6479E">
        <w:t xml:space="preserve"> agré</w:t>
      </w:r>
      <w:r w:rsidR="00CB351F">
        <w:t>ments et subventions développe</w:t>
      </w:r>
      <w:r w:rsidR="00B6479E">
        <w:t xml:space="preserve"> des a</w:t>
      </w:r>
      <w:r>
        <w:t>ddic</w:t>
      </w:r>
      <w:r w:rsidR="003A1673">
        <w:t xml:space="preserve">tions aux opérations de mesure, poussée en cela par le politique qui évite ainsi des débats peu « porteurs ». </w:t>
      </w:r>
      <w:r>
        <w:t>Engourdie</w:t>
      </w:r>
      <w:r w:rsidR="00B6479E">
        <w:t xml:space="preserve"> par une volonté de bonne gouvernance, une </w:t>
      </w:r>
      <w:r w:rsidR="00CB351F">
        <w:t>chape</w:t>
      </w:r>
      <w:r w:rsidR="00B6479E">
        <w:t xml:space="preserve"> de procédures d’éva</w:t>
      </w:r>
      <w:r>
        <w:t xml:space="preserve">luation des plans d’actions situerait le fonctionnaire dans une logique de doutes et de méfiances. Elle y perdrait son âme et sa vocation de soutenir l’initiative en matière de service.  </w:t>
      </w:r>
    </w:p>
    <w:p w:rsidR="00175AA1" w:rsidRDefault="00175AA1">
      <w:r>
        <w:t>Et déjà, les normes ISO envahissent le secteur social. Ces services, bons élève</w:t>
      </w:r>
      <w:r w:rsidR="00E63244">
        <w:t>s savent</w:t>
      </w:r>
      <w:r w:rsidR="007D1128">
        <w:t>-ils qu’en anticipant la mesure</w:t>
      </w:r>
      <w:r w:rsidR="00E63244">
        <w:t xml:space="preserve"> abusive de contrôl</w:t>
      </w:r>
      <w:r w:rsidR="00A56A3A">
        <w:t>e des coûts, de maî</w:t>
      </w:r>
      <w:r w:rsidR="00E63244">
        <w:t>trises du nombre d’actes ils déshumanisent la relation</w:t>
      </w:r>
      <w:r w:rsidR="00A56A3A">
        <w:t xml:space="preserve"> ? </w:t>
      </w:r>
      <w:r w:rsidR="00E63244">
        <w:t xml:space="preserve"> Ses agents deviennent des prestataires de procédures temporisées, calibrées et aseptisées. La personne dite bénéficiaire devient un produit.  Ils « désubjectivisent » la personne. </w:t>
      </w:r>
    </w:p>
    <w:p w:rsidR="001850D4" w:rsidRDefault="001850D4"/>
    <w:p w:rsidR="001850D4" w:rsidRDefault="001850D4">
      <w:r>
        <w:t xml:space="preserve">Ces réflexions nous conduisent à la </w:t>
      </w:r>
      <w:r w:rsidRPr="002C2A9F">
        <w:rPr>
          <w:b/>
        </w:rPr>
        <w:t>question du sens</w:t>
      </w:r>
      <w:r>
        <w:t xml:space="preserve">. Nous en sommes détourné par le discours gestionnaire du politique qui nous enjoint à faire plus avec moins. Le contexte de crise </w:t>
      </w:r>
      <w:r w:rsidR="00A56A3A">
        <w:t>gèle</w:t>
      </w:r>
      <w:r>
        <w:t xml:space="preserve"> la réflexion. Le sentiment d’urgence véhiculé par l’effondrement des banques, par l’augmentation de la dette publique qui comme le fait remarquer P.VIVERET </w:t>
      </w:r>
      <w:r w:rsidR="00184118">
        <w:t xml:space="preserve">sert à mettre la fortune de quelques-uns sous perfusion et </w:t>
      </w:r>
      <w:r>
        <w:t>donne un sérieux coup de frein au partage de la rich</w:t>
      </w:r>
      <w:r w:rsidR="00184118">
        <w:t>esse.  S</w:t>
      </w:r>
      <w:r>
        <w:t>auvetage des banques dont il se dit qu’elles reprennent de plus belle les travers qui les ont conduites à nous insécu</w:t>
      </w:r>
      <w:r w:rsidR="00184118">
        <w:t>riser. La CROISSANCE, divinisée, nous conduit à participer à la « quantophrénie ».</w:t>
      </w:r>
    </w:p>
    <w:p w:rsidR="002C2A9F" w:rsidRDefault="00184118">
      <w:r>
        <w:t>Cette course vers nous fait perdre le sens de la mesure !</w:t>
      </w:r>
      <w:r w:rsidR="002C2A9F">
        <w:t xml:space="preserve"> </w:t>
      </w:r>
    </w:p>
    <w:p w:rsidR="00A56A3A" w:rsidRDefault="00A56A3A"/>
    <w:p w:rsidR="0045058B" w:rsidRDefault="002C2A9F">
      <w:r>
        <w:t>L’insécurité dont nous nous</w:t>
      </w:r>
      <w:r w:rsidR="00A56A3A">
        <w:t xml:space="preserve"> accommodons serait-</w:t>
      </w:r>
      <w:r>
        <w:t>elle si anesthésiante qu’elle met en sourdine le sens critique que nous développons généralement dans les secteurs du social</w:t>
      </w:r>
      <w:r w:rsidR="00A56A3A">
        <w:t>, de la santé et de l’éducation ?</w:t>
      </w:r>
      <w:r>
        <w:t xml:space="preserve"> Perte de sens et </w:t>
      </w:r>
      <w:r w:rsidR="001C6D6F">
        <w:t>d’</w:t>
      </w:r>
      <w:r>
        <w:t xml:space="preserve">identité semblerait aller de paire. </w:t>
      </w:r>
      <w:r w:rsidR="001C6D6F">
        <w:t>La déglingue</w:t>
      </w:r>
      <w:r w:rsidR="0047383A">
        <w:t xml:space="preserve"> de l’identité de l’enseignant piloté par la course au score de PISA. La démesure les conduit à un </w:t>
      </w:r>
      <w:r w:rsidR="001C6D6F">
        <w:t>repli</w:t>
      </w:r>
      <w:r w:rsidR="0047383A">
        <w:t xml:space="preserve"> de la profession sur la « fonction instruction » et par </w:t>
      </w:r>
      <w:r w:rsidR="001C6D6F">
        <w:t>conséquence</w:t>
      </w:r>
      <w:r w:rsidR="0047383A">
        <w:t xml:space="preserve"> sur un recul de la </w:t>
      </w:r>
      <w:r w:rsidR="001C6D6F">
        <w:t>« </w:t>
      </w:r>
      <w:r w:rsidR="0047383A">
        <w:t>fonction éducative et socialisante</w:t>
      </w:r>
      <w:r w:rsidR="001C6D6F">
        <w:t> ». Il n’y a qu’un pas que je franchi</w:t>
      </w:r>
      <w:r w:rsidR="00A56A3A">
        <w:t>s</w:t>
      </w:r>
      <w:r w:rsidR="001C6D6F">
        <w:t xml:space="preserve"> pour mettre ce constat en corrélation </w:t>
      </w:r>
      <w:r w:rsidR="0045058B">
        <w:t xml:space="preserve">avec le décrochage scolaire. </w:t>
      </w:r>
    </w:p>
    <w:p w:rsidR="00184118" w:rsidRDefault="0045058B">
      <w:r>
        <w:t>Mesure,</w:t>
      </w:r>
      <w:r w:rsidR="001C6D6F">
        <w:t xml:space="preserve"> quanti</w:t>
      </w:r>
      <w:r>
        <w:t xml:space="preserve">fication, </w:t>
      </w:r>
      <w:r w:rsidR="001C6D6F">
        <w:t>évaluation</w:t>
      </w:r>
      <w:r>
        <w:t xml:space="preserve"> qui proclamée être</w:t>
      </w:r>
      <w:r w:rsidR="001C6D6F">
        <w:t xml:space="preserve"> au service de l’égalité des chances</w:t>
      </w:r>
      <w:r>
        <w:t>, devient sournoisement discriminante. Ou c’est un comble, ou c’est un camouflage d’élitisme. Il est donc urgent de passer les politiques pensées en salon, érigées en directives</w:t>
      </w:r>
      <w:r w:rsidR="00A56A3A">
        <w:t>,</w:t>
      </w:r>
      <w:r>
        <w:t xml:space="preserve"> au crible de la question du sens. Il est à craindre que la peur ambiante de cette fin de règne annoncée par P.Viveret frigorifie la pensée sur l’essence</w:t>
      </w:r>
      <w:r w:rsidR="002D2960">
        <w:t xml:space="preserve"> de notre nature  humaine qui nous</w:t>
      </w:r>
      <w:r>
        <w:t xml:space="preserve"> distingue</w:t>
      </w:r>
      <w:r w:rsidR="002D2960">
        <w:t xml:space="preserve"> des autres habitants de la terre par, notre capacité d’énoncer du sens…. En plein réchauffement climatique.</w:t>
      </w:r>
    </w:p>
    <w:p w:rsidR="00CB351F" w:rsidRDefault="00CB351F"/>
    <w:p w:rsidR="00CB351F" w:rsidRDefault="00CB351F"/>
    <w:p w:rsidR="00E63244" w:rsidRDefault="00E63244">
      <w:r>
        <w:t xml:space="preserve"> </w:t>
      </w:r>
    </w:p>
    <w:p w:rsidR="00B6479E" w:rsidRDefault="00B6479E"/>
    <w:p w:rsidR="00B6479E" w:rsidRDefault="00B6479E"/>
    <w:p w:rsidR="00A67374" w:rsidRDefault="00B6479E">
      <w:r>
        <w:t xml:space="preserve">  </w:t>
      </w:r>
    </w:p>
    <w:p w:rsidR="00A67374" w:rsidRDefault="00A67374"/>
    <w:p w:rsidR="004877F2" w:rsidRDefault="004877F2"/>
    <w:sectPr w:rsidR="004877F2" w:rsidSect="00AB2498">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A08" w:rsidRDefault="00D32A08" w:rsidP="00DA6669">
      <w:r>
        <w:separator/>
      </w:r>
    </w:p>
  </w:endnote>
  <w:endnote w:type="continuationSeparator" w:id="0">
    <w:p w:rsidR="00D32A08" w:rsidRDefault="00D32A08" w:rsidP="00DA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74"/>
      <w:gridCol w:w="8922"/>
    </w:tblGrid>
    <w:tr w:rsidR="0045058B" w:rsidRPr="0025191F" w:rsidTr="00633863">
      <w:tc>
        <w:tcPr>
          <w:tcW w:w="201" w:type="pct"/>
          <w:tcBorders>
            <w:bottom w:val="nil"/>
            <w:right w:val="single" w:sz="4" w:space="0" w:color="BFBFBF"/>
          </w:tcBorders>
        </w:tcPr>
        <w:p w:rsidR="0045058B" w:rsidRDefault="00A82954">
          <w:pPr>
            <w:jc w:val="right"/>
            <w:rPr>
              <w:rFonts w:ascii="Calibri" w:eastAsia="Cambria" w:hAnsi="Calibri"/>
              <w:b/>
              <w:color w:val="595959" w:themeColor="text1" w:themeTint="A6"/>
            </w:rPr>
          </w:pPr>
          <w:r>
            <w:rPr>
              <w:rFonts w:ascii="Calibri" w:hAnsi="Calibri"/>
              <w:b/>
              <w:color w:val="595959" w:themeColor="text1" w:themeTint="A6"/>
            </w:rPr>
            <w:fldChar w:fldCharType="begin"/>
          </w:r>
          <w:r w:rsidR="0045058B">
            <w:rPr>
              <w:rFonts w:ascii="Calibri" w:hAnsi="Calibri"/>
              <w:b/>
              <w:color w:val="595959" w:themeColor="text1" w:themeTint="A6"/>
            </w:rPr>
            <w:instrText>PAGE   \* MERGEFORMAT</w:instrText>
          </w:r>
          <w:r>
            <w:rPr>
              <w:rFonts w:ascii="Calibri" w:hAnsi="Calibri"/>
              <w:b/>
              <w:color w:val="595959" w:themeColor="text1" w:themeTint="A6"/>
            </w:rPr>
            <w:fldChar w:fldCharType="separate"/>
          </w:r>
          <w:r w:rsidR="004A54A1">
            <w:rPr>
              <w:rFonts w:ascii="Calibri" w:hAnsi="Calibri"/>
              <w:b/>
              <w:noProof/>
              <w:color w:val="595959" w:themeColor="text1" w:themeTint="A6"/>
            </w:rPr>
            <w:t>2</w:t>
          </w:r>
          <w:r>
            <w:rPr>
              <w:rFonts w:ascii="Calibri" w:hAnsi="Calibri"/>
              <w:b/>
              <w:color w:val="595959" w:themeColor="text1" w:themeTint="A6"/>
            </w:rPr>
            <w:fldChar w:fldCharType="end"/>
          </w:r>
        </w:p>
      </w:tc>
      <w:tc>
        <w:tcPr>
          <w:tcW w:w="4799" w:type="pct"/>
          <w:tcBorders>
            <w:left w:val="single" w:sz="4" w:space="0" w:color="BFBFBF"/>
            <w:bottom w:val="nil"/>
          </w:tcBorders>
        </w:tcPr>
        <w:p w:rsidR="0045058B" w:rsidRDefault="004A54A1">
          <w:pPr>
            <w:rPr>
              <w:rFonts w:ascii="Calibri" w:eastAsia="Cambria" w:hAnsi="Calibri"/>
              <w:color w:val="595959" w:themeColor="text1" w:themeTint="A6"/>
            </w:rPr>
          </w:pPr>
          <w:sdt>
            <w:sdtPr>
              <w:rPr>
                <w:rFonts w:ascii="Calibri" w:hAnsi="Calibri"/>
                <w:b/>
                <w:bCs/>
                <w:caps/>
                <w:color w:val="595959" w:themeColor="text1" w:themeTint="A6"/>
              </w:rPr>
              <w:alias w:val="Titre"/>
              <w:id w:val="-1812397384"/>
              <w:placeholder>
                <w:docPart w:val="5DB240D2265FB0459844CCCE44827343"/>
              </w:placeholder>
              <w:dataBinding w:prefixMappings="xmlns:ns0='http://schemas.openxmlformats.org/package/2006/metadata/core-properties' xmlns:ns1='http://purl.org/dc/elements/1.1/'" w:xpath="/ns0:coreProperties[1]/ns1:title[1]" w:storeItemID="{6C3C8BC8-F283-45AE-878A-BAB7291924A1}"/>
              <w:text/>
            </w:sdtPr>
            <w:sdtEndPr/>
            <w:sdtContent>
              <w:r w:rsidR="0045058B">
                <w:rPr>
                  <w:rFonts w:ascii="Calibri" w:hAnsi="Calibri"/>
                  <w:b/>
                  <w:bCs/>
                  <w:caps/>
                  <w:color w:val="595959" w:themeColor="text1" w:themeTint="A6"/>
                </w:rPr>
                <w:t>Quand la quantification se prend pour la qualité ? Luc FOUARGE, 3/04/11</w:t>
              </w:r>
            </w:sdtContent>
          </w:sdt>
        </w:p>
      </w:tc>
    </w:tr>
  </w:tbl>
  <w:p w:rsidR="0045058B" w:rsidRDefault="0045058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74"/>
      <w:gridCol w:w="8922"/>
    </w:tblGrid>
    <w:tr w:rsidR="00BA7126" w:rsidRPr="0025191F" w:rsidTr="00DA1012">
      <w:tc>
        <w:tcPr>
          <w:tcW w:w="201" w:type="pct"/>
          <w:tcBorders>
            <w:bottom w:val="nil"/>
            <w:right w:val="single" w:sz="4" w:space="0" w:color="BFBFBF"/>
          </w:tcBorders>
        </w:tcPr>
        <w:p w:rsidR="00BA7126" w:rsidRDefault="00BA7126" w:rsidP="00DA1012">
          <w:pPr>
            <w:jc w:val="right"/>
            <w:rPr>
              <w:rFonts w:ascii="Calibri" w:eastAsia="Cambria" w:hAnsi="Calibri"/>
              <w:b/>
              <w:color w:val="595959" w:themeColor="text1" w:themeTint="A6"/>
            </w:rPr>
          </w:pPr>
          <w:r>
            <w:rPr>
              <w:rFonts w:ascii="Calibri" w:hAnsi="Calibri"/>
              <w:b/>
              <w:color w:val="595959" w:themeColor="text1" w:themeTint="A6"/>
            </w:rPr>
            <w:fldChar w:fldCharType="begin"/>
          </w:r>
          <w:r>
            <w:rPr>
              <w:rFonts w:ascii="Calibri" w:hAnsi="Calibri"/>
              <w:b/>
              <w:color w:val="595959" w:themeColor="text1" w:themeTint="A6"/>
            </w:rPr>
            <w:instrText>PAGE   \* MERGEFORMAT</w:instrText>
          </w:r>
          <w:r>
            <w:rPr>
              <w:rFonts w:ascii="Calibri" w:hAnsi="Calibri"/>
              <w:b/>
              <w:color w:val="595959" w:themeColor="text1" w:themeTint="A6"/>
            </w:rPr>
            <w:fldChar w:fldCharType="separate"/>
          </w:r>
          <w:r w:rsidR="004A54A1">
            <w:rPr>
              <w:rFonts w:ascii="Calibri" w:hAnsi="Calibri"/>
              <w:b/>
              <w:noProof/>
              <w:color w:val="595959" w:themeColor="text1" w:themeTint="A6"/>
            </w:rPr>
            <w:t>1</w:t>
          </w:r>
          <w:r>
            <w:rPr>
              <w:rFonts w:ascii="Calibri" w:hAnsi="Calibri"/>
              <w:b/>
              <w:color w:val="595959" w:themeColor="text1" w:themeTint="A6"/>
            </w:rPr>
            <w:fldChar w:fldCharType="end"/>
          </w:r>
        </w:p>
      </w:tc>
      <w:tc>
        <w:tcPr>
          <w:tcW w:w="4799" w:type="pct"/>
          <w:tcBorders>
            <w:left w:val="single" w:sz="4" w:space="0" w:color="BFBFBF"/>
            <w:bottom w:val="nil"/>
          </w:tcBorders>
        </w:tcPr>
        <w:p w:rsidR="00BA7126" w:rsidRDefault="004A54A1" w:rsidP="00DA1012">
          <w:pPr>
            <w:rPr>
              <w:rFonts w:ascii="Calibri" w:eastAsia="Cambria" w:hAnsi="Calibri"/>
              <w:color w:val="595959" w:themeColor="text1" w:themeTint="A6"/>
            </w:rPr>
          </w:pPr>
          <w:sdt>
            <w:sdtPr>
              <w:rPr>
                <w:rFonts w:ascii="Calibri" w:hAnsi="Calibri"/>
                <w:b/>
                <w:bCs/>
                <w:caps/>
                <w:color w:val="595959" w:themeColor="text1" w:themeTint="A6"/>
              </w:rPr>
              <w:alias w:val="Titre"/>
              <w:id w:val="16187504"/>
              <w:placeholder>
                <w:docPart w:val="311C80B211C245B6ACA5B5F5151064BE"/>
              </w:placeholder>
              <w:dataBinding w:prefixMappings="xmlns:ns0='http://schemas.openxmlformats.org/package/2006/metadata/core-properties' xmlns:ns1='http://purl.org/dc/elements/1.1/'" w:xpath="/ns0:coreProperties[1]/ns1:title[1]" w:storeItemID="{6C3C8BC8-F283-45AE-878A-BAB7291924A1}"/>
              <w:text/>
            </w:sdtPr>
            <w:sdtEndPr/>
            <w:sdtContent>
              <w:r w:rsidR="00BA7126">
                <w:rPr>
                  <w:rFonts w:ascii="Calibri" w:hAnsi="Calibri"/>
                  <w:b/>
                  <w:bCs/>
                  <w:caps/>
                  <w:color w:val="595959" w:themeColor="text1" w:themeTint="A6"/>
                </w:rPr>
                <w:t>Quand la quantification se prend pour la qualité ? Luc FOUARGE, 3/04/11</w:t>
              </w:r>
            </w:sdtContent>
          </w:sdt>
        </w:p>
      </w:tc>
    </w:tr>
  </w:tbl>
  <w:p w:rsidR="0045058B" w:rsidRPr="00BA7126" w:rsidRDefault="0045058B" w:rsidP="00BA712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A08" w:rsidRDefault="00D32A08" w:rsidP="00DA6669">
      <w:r>
        <w:separator/>
      </w:r>
    </w:p>
  </w:footnote>
  <w:footnote w:type="continuationSeparator" w:id="0">
    <w:p w:rsidR="00D32A08" w:rsidRDefault="00D32A08" w:rsidP="00DA6669">
      <w:r>
        <w:continuationSeparator/>
      </w:r>
    </w:p>
  </w:footnote>
  <w:footnote w:id="1">
    <w:p w:rsidR="0045058B" w:rsidRDefault="0045058B">
      <w:pPr>
        <w:pStyle w:val="Notedebasdepage"/>
      </w:pPr>
      <w:r>
        <w:rPr>
          <w:rStyle w:val="Marquenotebasdepage"/>
        </w:rPr>
        <w:footnoteRef/>
      </w:r>
      <w:r w:rsidRPr="00235E67">
        <w:rPr>
          <w:sz w:val="16"/>
          <w:szCs w:val="16"/>
        </w:rPr>
        <w:t xml:space="preserve"> Christophe </w:t>
      </w:r>
      <w:r w:rsidRPr="00235E67">
        <w:rPr>
          <w:b/>
          <w:bCs/>
          <w:sz w:val="16"/>
          <w:szCs w:val="16"/>
        </w:rPr>
        <w:t>DEJOURS</w:t>
      </w:r>
      <w:r w:rsidRPr="00235E67">
        <w:rPr>
          <w:sz w:val="16"/>
          <w:szCs w:val="16"/>
        </w:rPr>
        <w:t xml:space="preserve"> Directeur du LPTA (Laboratoire de Psychologie du Travail et de l’Action) CNAM rue Gay Lussac 75 005 Paris tel 33 1 44 10 78 22     ,  </w:t>
      </w:r>
      <w:r w:rsidRPr="00235E67">
        <w:rPr>
          <w:b/>
          <w:bCs/>
          <w:sz w:val="16"/>
          <w:szCs w:val="16"/>
        </w:rPr>
        <w:t>L’évaluation du travail à l’épreuve du réel</w:t>
      </w:r>
      <w:r w:rsidRPr="00235E67">
        <w:rPr>
          <w:sz w:val="16"/>
          <w:szCs w:val="16"/>
        </w:rPr>
        <w:t xml:space="preserve"> – Critique des fondements de l’évaluation – INRA Edition, 2003</w:t>
      </w:r>
    </w:p>
  </w:footnote>
  <w:footnote w:id="2">
    <w:p w:rsidR="0045058B" w:rsidRDefault="0045058B">
      <w:pPr>
        <w:pStyle w:val="Notedebasdepage"/>
      </w:pPr>
      <w:r>
        <w:rPr>
          <w:rStyle w:val="Marquenotebasdepage"/>
        </w:rPr>
        <w:footnoteRef/>
      </w:r>
      <w:r>
        <w:rPr>
          <w:rStyle w:val="Marquenotebasdepage"/>
        </w:rPr>
        <w:footnoteRef/>
      </w:r>
      <w:r>
        <w:t xml:space="preserve"> </w:t>
      </w:r>
      <w:r w:rsidRPr="00235E67">
        <w:rPr>
          <w:sz w:val="16"/>
          <w:szCs w:val="16"/>
        </w:rPr>
        <w:t xml:space="preserve">Patrick </w:t>
      </w:r>
      <w:r w:rsidRPr="00235E67">
        <w:rPr>
          <w:b/>
          <w:sz w:val="16"/>
          <w:szCs w:val="16"/>
        </w:rPr>
        <w:t>VIVERET</w:t>
      </w:r>
      <w:r w:rsidRPr="00235E67">
        <w:rPr>
          <w:sz w:val="16"/>
          <w:szCs w:val="16"/>
        </w:rPr>
        <w:t xml:space="preserve"> Philosophe, conférence à l’UFNAFAAM, Hyères Avril 2011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EA3"/>
    <w:rsid w:val="000247C5"/>
    <w:rsid w:val="00175AA1"/>
    <w:rsid w:val="00184118"/>
    <w:rsid w:val="001850D4"/>
    <w:rsid w:val="001B3C09"/>
    <w:rsid w:val="001C6D6F"/>
    <w:rsid w:val="00235E67"/>
    <w:rsid w:val="0024085C"/>
    <w:rsid w:val="002C2A9F"/>
    <w:rsid w:val="002D2960"/>
    <w:rsid w:val="002F7AA1"/>
    <w:rsid w:val="003A1673"/>
    <w:rsid w:val="00430D69"/>
    <w:rsid w:val="0045058B"/>
    <w:rsid w:val="0047383A"/>
    <w:rsid w:val="004877F2"/>
    <w:rsid w:val="004A54A1"/>
    <w:rsid w:val="00590362"/>
    <w:rsid w:val="005D7417"/>
    <w:rsid w:val="00633863"/>
    <w:rsid w:val="006D189D"/>
    <w:rsid w:val="007D1128"/>
    <w:rsid w:val="00890EA3"/>
    <w:rsid w:val="009175A2"/>
    <w:rsid w:val="00966A23"/>
    <w:rsid w:val="009B596A"/>
    <w:rsid w:val="00A16440"/>
    <w:rsid w:val="00A249DA"/>
    <w:rsid w:val="00A308ED"/>
    <w:rsid w:val="00A56A3A"/>
    <w:rsid w:val="00A67374"/>
    <w:rsid w:val="00A82954"/>
    <w:rsid w:val="00AA3524"/>
    <w:rsid w:val="00AB2498"/>
    <w:rsid w:val="00B32901"/>
    <w:rsid w:val="00B6479E"/>
    <w:rsid w:val="00B7736E"/>
    <w:rsid w:val="00BA7126"/>
    <w:rsid w:val="00CA62B7"/>
    <w:rsid w:val="00CB351F"/>
    <w:rsid w:val="00D23E6C"/>
    <w:rsid w:val="00D32A08"/>
    <w:rsid w:val="00DA6669"/>
    <w:rsid w:val="00E218CE"/>
    <w:rsid w:val="00E6324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249D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890EA3"/>
    <w:rPr>
      <w:rFonts w:ascii="Times New Roman" w:eastAsia="Times New Roman" w:hAnsi="Times New Roman" w:cs="Times New Roman"/>
      <w:i/>
      <w:iCs/>
      <w:lang w:eastAsia="en-US"/>
    </w:rPr>
  </w:style>
  <w:style w:type="character" w:customStyle="1" w:styleId="CorpsdetexteCar">
    <w:name w:val="Corps de texte Car"/>
    <w:basedOn w:val="Policepardfaut"/>
    <w:link w:val="Corpsdetexte"/>
    <w:rsid w:val="00890EA3"/>
    <w:rPr>
      <w:rFonts w:ascii="Times New Roman" w:eastAsia="Times New Roman" w:hAnsi="Times New Roman" w:cs="Times New Roman"/>
      <w:i/>
      <w:iCs/>
      <w:lang w:eastAsia="en-US"/>
    </w:rPr>
  </w:style>
  <w:style w:type="paragraph" w:styleId="Corpsdetexte2">
    <w:name w:val="Body Text 2"/>
    <w:basedOn w:val="Normal"/>
    <w:link w:val="Corpsdetexte2Car"/>
    <w:rsid w:val="00890EA3"/>
    <w:rPr>
      <w:rFonts w:ascii="Times New Roman" w:eastAsia="Times New Roman" w:hAnsi="Times New Roman" w:cs="Times New Roman"/>
      <w:i/>
      <w:iCs/>
      <w:sz w:val="20"/>
      <w:lang w:eastAsia="en-US"/>
    </w:rPr>
  </w:style>
  <w:style w:type="character" w:customStyle="1" w:styleId="Corpsdetexte2Car">
    <w:name w:val="Corps de texte 2 Car"/>
    <w:basedOn w:val="Policepardfaut"/>
    <w:link w:val="Corpsdetexte2"/>
    <w:rsid w:val="00890EA3"/>
    <w:rPr>
      <w:rFonts w:ascii="Times New Roman" w:eastAsia="Times New Roman" w:hAnsi="Times New Roman" w:cs="Times New Roman"/>
      <w:i/>
      <w:iCs/>
      <w:sz w:val="20"/>
      <w:lang w:eastAsia="en-US"/>
    </w:rPr>
  </w:style>
  <w:style w:type="paragraph" w:styleId="Explorateurdedocument">
    <w:name w:val="Document Map"/>
    <w:basedOn w:val="Normal"/>
    <w:link w:val="ExplorateurdedocumentCar"/>
    <w:uiPriority w:val="99"/>
    <w:semiHidden/>
    <w:unhideWhenUsed/>
    <w:rsid w:val="00890EA3"/>
    <w:rPr>
      <w:rFonts w:ascii="Lucida Grande" w:hAnsi="Lucida Grande" w:cs="Lucida Grande"/>
    </w:rPr>
  </w:style>
  <w:style w:type="character" w:customStyle="1" w:styleId="ExplorateurdedocumentCar">
    <w:name w:val="Explorateur de document Car"/>
    <w:basedOn w:val="Policepardfaut"/>
    <w:link w:val="Explorateurdedocument"/>
    <w:uiPriority w:val="99"/>
    <w:semiHidden/>
    <w:rsid w:val="00890EA3"/>
    <w:rPr>
      <w:rFonts w:ascii="Lucida Grande" w:hAnsi="Lucida Grande" w:cs="Lucida Grande"/>
    </w:rPr>
  </w:style>
  <w:style w:type="paragraph" w:styleId="En-tte">
    <w:name w:val="header"/>
    <w:basedOn w:val="Normal"/>
    <w:link w:val="En-tteCar"/>
    <w:uiPriority w:val="99"/>
    <w:unhideWhenUsed/>
    <w:rsid w:val="00DA6669"/>
    <w:pPr>
      <w:tabs>
        <w:tab w:val="center" w:pos="4536"/>
        <w:tab w:val="right" w:pos="9072"/>
      </w:tabs>
    </w:pPr>
  </w:style>
  <w:style w:type="character" w:customStyle="1" w:styleId="En-tteCar">
    <w:name w:val="En-tête Car"/>
    <w:basedOn w:val="Policepardfaut"/>
    <w:link w:val="En-tte"/>
    <w:uiPriority w:val="99"/>
    <w:rsid w:val="00DA6669"/>
  </w:style>
  <w:style w:type="paragraph" w:styleId="Pieddepage">
    <w:name w:val="footer"/>
    <w:basedOn w:val="Normal"/>
    <w:link w:val="PieddepageCar"/>
    <w:uiPriority w:val="99"/>
    <w:unhideWhenUsed/>
    <w:rsid w:val="00DA6669"/>
    <w:pPr>
      <w:tabs>
        <w:tab w:val="center" w:pos="4536"/>
        <w:tab w:val="right" w:pos="9072"/>
      </w:tabs>
    </w:pPr>
  </w:style>
  <w:style w:type="character" w:customStyle="1" w:styleId="PieddepageCar">
    <w:name w:val="Pied de page Car"/>
    <w:basedOn w:val="Policepardfaut"/>
    <w:link w:val="Pieddepage"/>
    <w:uiPriority w:val="99"/>
    <w:rsid w:val="00DA6669"/>
  </w:style>
  <w:style w:type="character" w:styleId="Numrodepage">
    <w:name w:val="page number"/>
    <w:basedOn w:val="Policepardfaut"/>
    <w:uiPriority w:val="99"/>
    <w:semiHidden/>
    <w:unhideWhenUsed/>
    <w:rsid w:val="00AB2498"/>
  </w:style>
  <w:style w:type="paragraph" w:styleId="Lgende">
    <w:name w:val="caption"/>
    <w:basedOn w:val="Normal"/>
    <w:next w:val="Normal"/>
    <w:uiPriority w:val="35"/>
    <w:unhideWhenUsed/>
    <w:qFormat/>
    <w:rsid w:val="00AB2498"/>
    <w:pPr>
      <w:spacing w:after="200"/>
    </w:pPr>
    <w:rPr>
      <w:b/>
      <w:bCs/>
      <w:color w:val="4F81BD" w:themeColor="accent1"/>
      <w:sz w:val="18"/>
      <w:szCs w:val="18"/>
    </w:rPr>
  </w:style>
  <w:style w:type="paragraph" w:styleId="Notedebasdepage">
    <w:name w:val="footnote text"/>
    <w:basedOn w:val="Normal"/>
    <w:link w:val="NotedebasdepageCar"/>
    <w:uiPriority w:val="99"/>
    <w:unhideWhenUsed/>
    <w:rsid w:val="00235E67"/>
  </w:style>
  <w:style w:type="character" w:customStyle="1" w:styleId="NotedebasdepageCar">
    <w:name w:val="Note de bas de page Car"/>
    <w:basedOn w:val="Policepardfaut"/>
    <w:link w:val="Notedebasdepage"/>
    <w:uiPriority w:val="99"/>
    <w:rsid w:val="00235E67"/>
  </w:style>
  <w:style w:type="character" w:styleId="Marquenotebasdepage">
    <w:name w:val="footnote reference"/>
    <w:basedOn w:val="Policepardfaut"/>
    <w:uiPriority w:val="99"/>
    <w:unhideWhenUsed/>
    <w:rsid w:val="00235E67"/>
    <w:rPr>
      <w:vertAlign w:val="superscript"/>
    </w:rPr>
  </w:style>
  <w:style w:type="character" w:customStyle="1" w:styleId="Titre1Car">
    <w:name w:val="Titre 1 Car"/>
    <w:basedOn w:val="Policepardfaut"/>
    <w:link w:val="Titre1"/>
    <w:uiPriority w:val="9"/>
    <w:rsid w:val="00A249DA"/>
    <w:rPr>
      <w:rFonts w:asciiTheme="majorHAnsi" w:eastAsiaTheme="majorEastAsia" w:hAnsiTheme="majorHAnsi" w:cstheme="majorBidi"/>
      <w:b/>
      <w:bCs/>
      <w:color w:val="345A8A" w:themeColor="accent1" w:themeShade="B5"/>
      <w:sz w:val="32"/>
      <w:szCs w:val="32"/>
    </w:rPr>
  </w:style>
  <w:style w:type="paragraph" w:styleId="Sansinterligne">
    <w:name w:val="No Spacing"/>
    <w:link w:val="SansinterligneCar"/>
    <w:qFormat/>
    <w:rsid w:val="007D1128"/>
    <w:rPr>
      <w:rFonts w:ascii="PMingLiU" w:hAnsi="PMingLiU"/>
      <w:sz w:val="22"/>
      <w:szCs w:val="22"/>
    </w:rPr>
  </w:style>
  <w:style w:type="character" w:customStyle="1" w:styleId="SansinterligneCar">
    <w:name w:val="Sans interligne Car"/>
    <w:basedOn w:val="Policepardfaut"/>
    <w:link w:val="Sansinterligne"/>
    <w:rsid w:val="007D1128"/>
    <w:rPr>
      <w:rFonts w:ascii="PMingLiU" w:hAnsi="PMingLiU"/>
      <w:sz w:val="22"/>
      <w:szCs w:val="22"/>
    </w:rPr>
  </w:style>
  <w:style w:type="paragraph" w:styleId="Textedebulles">
    <w:name w:val="Balloon Text"/>
    <w:basedOn w:val="Normal"/>
    <w:link w:val="TextedebullesCar"/>
    <w:uiPriority w:val="99"/>
    <w:semiHidden/>
    <w:unhideWhenUsed/>
    <w:rsid w:val="00BA7126"/>
    <w:rPr>
      <w:rFonts w:ascii="Tahoma" w:hAnsi="Tahoma" w:cs="Tahoma"/>
      <w:sz w:val="16"/>
      <w:szCs w:val="16"/>
    </w:rPr>
  </w:style>
  <w:style w:type="character" w:customStyle="1" w:styleId="TextedebullesCar">
    <w:name w:val="Texte de bulles Car"/>
    <w:basedOn w:val="Policepardfaut"/>
    <w:link w:val="Textedebulles"/>
    <w:uiPriority w:val="99"/>
    <w:semiHidden/>
    <w:rsid w:val="00BA712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249D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890EA3"/>
    <w:rPr>
      <w:rFonts w:ascii="Times New Roman" w:eastAsia="Times New Roman" w:hAnsi="Times New Roman" w:cs="Times New Roman"/>
      <w:i/>
      <w:iCs/>
      <w:lang w:eastAsia="en-US"/>
    </w:rPr>
  </w:style>
  <w:style w:type="character" w:customStyle="1" w:styleId="CorpsdetexteCar">
    <w:name w:val="Corps de texte Car"/>
    <w:basedOn w:val="Policepardfaut"/>
    <w:link w:val="Corpsdetexte"/>
    <w:rsid w:val="00890EA3"/>
    <w:rPr>
      <w:rFonts w:ascii="Times New Roman" w:eastAsia="Times New Roman" w:hAnsi="Times New Roman" w:cs="Times New Roman"/>
      <w:i/>
      <w:iCs/>
      <w:lang w:eastAsia="en-US"/>
    </w:rPr>
  </w:style>
  <w:style w:type="paragraph" w:styleId="Corpsdetexte2">
    <w:name w:val="Body Text 2"/>
    <w:basedOn w:val="Normal"/>
    <w:link w:val="Corpsdetexte2Car"/>
    <w:rsid w:val="00890EA3"/>
    <w:rPr>
      <w:rFonts w:ascii="Times New Roman" w:eastAsia="Times New Roman" w:hAnsi="Times New Roman" w:cs="Times New Roman"/>
      <w:i/>
      <w:iCs/>
      <w:sz w:val="20"/>
      <w:lang w:eastAsia="en-US"/>
    </w:rPr>
  </w:style>
  <w:style w:type="character" w:customStyle="1" w:styleId="Corpsdetexte2Car">
    <w:name w:val="Corps de texte 2 Car"/>
    <w:basedOn w:val="Policepardfaut"/>
    <w:link w:val="Corpsdetexte2"/>
    <w:rsid w:val="00890EA3"/>
    <w:rPr>
      <w:rFonts w:ascii="Times New Roman" w:eastAsia="Times New Roman" w:hAnsi="Times New Roman" w:cs="Times New Roman"/>
      <w:i/>
      <w:iCs/>
      <w:sz w:val="20"/>
      <w:lang w:eastAsia="en-US"/>
    </w:rPr>
  </w:style>
  <w:style w:type="paragraph" w:styleId="Explorateurdedocument">
    <w:name w:val="Document Map"/>
    <w:basedOn w:val="Normal"/>
    <w:link w:val="ExplorateurdedocumentCar"/>
    <w:uiPriority w:val="99"/>
    <w:semiHidden/>
    <w:unhideWhenUsed/>
    <w:rsid w:val="00890EA3"/>
    <w:rPr>
      <w:rFonts w:ascii="Lucida Grande" w:hAnsi="Lucida Grande" w:cs="Lucida Grande"/>
    </w:rPr>
  </w:style>
  <w:style w:type="character" w:customStyle="1" w:styleId="ExplorateurdedocumentCar">
    <w:name w:val="Explorateur de document Car"/>
    <w:basedOn w:val="Policepardfaut"/>
    <w:link w:val="Explorateurdedocument"/>
    <w:uiPriority w:val="99"/>
    <w:semiHidden/>
    <w:rsid w:val="00890EA3"/>
    <w:rPr>
      <w:rFonts w:ascii="Lucida Grande" w:hAnsi="Lucida Grande" w:cs="Lucida Grande"/>
    </w:rPr>
  </w:style>
  <w:style w:type="paragraph" w:styleId="En-tte">
    <w:name w:val="header"/>
    <w:basedOn w:val="Normal"/>
    <w:link w:val="En-tteCar"/>
    <w:uiPriority w:val="99"/>
    <w:unhideWhenUsed/>
    <w:rsid w:val="00DA6669"/>
    <w:pPr>
      <w:tabs>
        <w:tab w:val="center" w:pos="4536"/>
        <w:tab w:val="right" w:pos="9072"/>
      </w:tabs>
    </w:pPr>
  </w:style>
  <w:style w:type="character" w:customStyle="1" w:styleId="En-tteCar">
    <w:name w:val="En-tête Car"/>
    <w:basedOn w:val="Policepardfaut"/>
    <w:link w:val="En-tte"/>
    <w:uiPriority w:val="99"/>
    <w:rsid w:val="00DA6669"/>
  </w:style>
  <w:style w:type="paragraph" w:styleId="Pieddepage">
    <w:name w:val="footer"/>
    <w:basedOn w:val="Normal"/>
    <w:link w:val="PieddepageCar"/>
    <w:uiPriority w:val="99"/>
    <w:unhideWhenUsed/>
    <w:rsid w:val="00DA6669"/>
    <w:pPr>
      <w:tabs>
        <w:tab w:val="center" w:pos="4536"/>
        <w:tab w:val="right" w:pos="9072"/>
      </w:tabs>
    </w:pPr>
  </w:style>
  <w:style w:type="character" w:customStyle="1" w:styleId="PieddepageCar">
    <w:name w:val="Pied de page Car"/>
    <w:basedOn w:val="Policepardfaut"/>
    <w:link w:val="Pieddepage"/>
    <w:uiPriority w:val="99"/>
    <w:rsid w:val="00DA6669"/>
  </w:style>
  <w:style w:type="character" w:styleId="Numrodepage">
    <w:name w:val="page number"/>
    <w:basedOn w:val="Policepardfaut"/>
    <w:uiPriority w:val="99"/>
    <w:semiHidden/>
    <w:unhideWhenUsed/>
    <w:rsid w:val="00AB2498"/>
  </w:style>
  <w:style w:type="paragraph" w:styleId="Lgende">
    <w:name w:val="caption"/>
    <w:basedOn w:val="Normal"/>
    <w:next w:val="Normal"/>
    <w:uiPriority w:val="35"/>
    <w:unhideWhenUsed/>
    <w:qFormat/>
    <w:rsid w:val="00AB2498"/>
    <w:pPr>
      <w:spacing w:after="200"/>
    </w:pPr>
    <w:rPr>
      <w:b/>
      <w:bCs/>
      <w:color w:val="4F81BD" w:themeColor="accent1"/>
      <w:sz w:val="18"/>
      <w:szCs w:val="18"/>
    </w:rPr>
  </w:style>
  <w:style w:type="paragraph" w:styleId="Notedebasdepage">
    <w:name w:val="footnote text"/>
    <w:basedOn w:val="Normal"/>
    <w:link w:val="NotedebasdepageCar"/>
    <w:uiPriority w:val="99"/>
    <w:unhideWhenUsed/>
    <w:rsid w:val="00235E67"/>
  </w:style>
  <w:style w:type="character" w:customStyle="1" w:styleId="NotedebasdepageCar">
    <w:name w:val="Note de bas de page Car"/>
    <w:basedOn w:val="Policepardfaut"/>
    <w:link w:val="Notedebasdepage"/>
    <w:uiPriority w:val="99"/>
    <w:rsid w:val="00235E67"/>
  </w:style>
  <w:style w:type="character" w:styleId="Marquenotebasdepage">
    <w:name w:val="footnote reference"/>
    <w:basedOn w:val="Policepardfaut"/>
    <w:uiPriority w:val="99"/>
    <w:unhideWhenUsed/>
    <w:rsid w:val="00235E67"/>
    <w:rPr>
      <w:vertAlign w:val="superscript"/>
    </w:rPr>
  </w:style>
  <w:style w:type="character" w:customStyle="1" w:styleId="Titre1Car">
    <w:name w:val="Titre 1 Car"/>
    <w:basedOn w:val="Policepardfaut"/>
    <w:link w:val="Titre1"/>
    <w:uiPriority w:val="9"/>
    <w:rsid w:val="00A249DA"/>
    <w:rPr>
      <w:rFonts w:asciiTheme="majorHAnsi" w:eastAsiaTheme="majorEastAsia" w:hAnsiTheme="majorHAnsi" w:cstheme="majorBidi"/>
      <w:b/>
      <w:bCs/>
      <w:color w:val="345A8A" w:themeColor="accent1" w:themeShade="B5"/>
      <w:sz w:val="32"/>
      <w:szCs w:val="32"/>
    </w:rPr>
  </w:style>
  <w:style w:type="paragraph" w:styleId="Sansinterligne">
    <w:name w:val="No Spacing"/>
    <w:link w:val="SansinterligneCar"/>
    <w:qFormat/>
    <w:rsid w:val="007D1128"/>
    <w:rPr>
      <w:rFonts w:ascii="PMingLiU" w:hAnsi="PMingLiU"/>
      <w:sz w:val="22"/>
      <w:szCs w:val="22"/>
    </w:rPr>
  </w:style>
  <w:style w:type="character" w:customStyle="1" w:styleId="SansinterligneCar">
    <w:name w:val="Sans interligne Car"/>
    <w:basedOn w:val="Policepardfaut"/>
    <w:link w:val="Sansinterligne"/>
    <w:rsid w:val="007D1128"/>
    <w:rPr>
      <w:rFonts w:ascii="PMingLiU" w:hAnsi="PMingLiU"/>
      <w:sz w:val="22"/>
      <w:szCs w:val="22"/>
    </w:rPr>
  </w:style>
  <w:style w:type="paragraph" w:styleId="Textedebulles">
    <w:name w:val="Balloon Text"/>
    <w:basedOn w:val="Normal"/>
    <w:link w:val="TextedebullesCar"/>
    <w:uiPriority w:val="99"/>
    <w:semiHidden/>
    <w:unhideWhenUsed/>
    <w:rsid w:val="00BA7126"/>
    <w:rPr>
      <w:rFonts w:ascii="Tahoma" w:hAnsi="Tahoma" w:cs="Tahoma"/>
      <w:sz w:val="16"/>
      <w:szCs w:val="16"/>
    </w:rPr>
  </w:style>
  <w:style w:type="character" w:customStyle="1" w:styleId="TextedebullesCar">
    <w:name w:val="Texte de bulles Car"/>
    <w:basedOn w:val="Policepardfaut"/>
    <w:link w:val="Textedebulles"/>
    <w:uiPriority w:val="99"/>
    <w:semiHidden/>
    <w:rsid w:val="00BA71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B240D2265FB0459844CCCE44827343"/>
        <w:category>
          <w:name w:val="Général"/>
          <w:gallery w:val="placeholder"/>
        </w:category>
        <w:types>
          <w:type w:val="bbPlcHdr"/>
        </w:types>
        <w:behaviors>
          <w:behavior w:val="content"/>
        </w:behaviors>
        <w:guid w:val="{636E6657-FBE2-7047-A3E5-330B880F527A}"/>
      </w:docPartPr>
      <w:docPartBody>
        <w:p w:rsidR="009B336E" w:rsidRDefault="00C47C71" w:rsidP="00C47C71">
          <w:pPr>
            <w:pStyle w:val="5DB240D2265FB0459844CCCE44827343"/>
          </w:pPr>
          <w:r>
            <w:rPr>
              <w:b/>
              <w:bCs/>
              <w:caps/>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603E2"/>
    <w:rsid w:val="001603E2"/>
    <w:rsid w:val="00236C0F"/>
    <w:rsid w:val="00540A09"/>
    <w:rsid w:val="00734A1C"/>
    <w:rsid w:val="009B336E"/>
    <w:rsid w:val="00AE5F63"/>
    <w:rsid w:val="00C47C7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C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796C6C60E3FDC438EB012B1862EE4AD">
    <w:name w:val="2796C6C60E3FDC438EB012B1862EE4AD"/>
    <w:rsid w:val="001603E2"/>
  </w:style>
  <w:style w:type="paragraph" w:customStyle="1" w:styleId="9DBD12121EE8DD4FB860047025E7DD22">
    <w:name w:val="9DBD12121EE8DD4FB860047025E7DD22"/>
    <w:rsid w:val="00C47C71"/>
  </w:style>
  <w:style w:type="paragraph" w:customStyle="1" w:styleId="5976EFBBFFE56D46BFDC99D009A8781B">
    <w:name w:val="5976EFBBFFE56D46BFDC99D009A8781B"/>
    <w:rsid w:val="00C47C71"/>
  </w:style>
  <w:style w:type="paragraph" w:customStyle="1" w:styleId="6A85F0FC0BFD5341B62C8F4D9C291D9F">
    <w:name w:val="6A85F0FC0BFD5341B62C8F4D9C291D9F"/>
    <w:rsid w:val="00C47C71"/>
  </w:style>
  <w:style w:type="paragraph" w:customStyle="1" w:styleId="EFB2123AA9DA5A429CFE15FE75ABCE86">
    <w:name w:val="EFB2123AA9DA5A429CFE15FE75ABCE86"/>
    <w:rsid w:val="00C47C71"/>
  </w:style>
  <w:style w:type="paragraph" w:customStyle="1" w:styleId="1128E36636E8584A9319887635B8C10A">
    <w:name w:val="1128E36636E8584A9319887635B8C10A"/>
    <w:rsid w:val="00C47C71"/>
  </w:style>
  <w:style w:type="paragraph" w:customStyle="1" w:styleId="A838E20835E82449B0973C3B76614C5B">
    <w:name w:val="A838E20835E82449B0973C3B76614C5B"/>
    <w:rsid w:val="00C47C71"/>
  </w:style>
  <w:style w:type="paragraph" w:customStyle="1" w:styleId="E9F04E0B9E29404B8CAA35CA736A92C0">
    <w:name w:val="E9F04E0B9E29404B8CAA35CA736A92C0"/>
    <w:rsid w:val="00C47C71"/>
  </w:style>
  <w:style w:type="paragraph" w:customStyle="1" w:styleId="CF570A482236EE438582F20A4EE6AF4A">
    <w:name w:val="CF570A482236EE438582F20A4EE6AF4A"/>
    <w:rsid w:val="00C47C71"/>
  </w:style>
  <w:style w:type="paragraph" w:customStyle="1" w:styleId="EA76456A7D44794AAEE3223399432FB6">
    <w:name w:val="EA76456A7D44794AAEE3223399432FB6"/>
    <w:rsid w:val="00C47C71"/>
  </w:style>
  <w:style w:type="paragraph" w:customStyle="1" w:styleId="C4580B8719E3EC4483565A2590E158B4">
    <w:name w:val="C4580B8719E3EC4483565A2590E158B4"/>
    <w:rsid w:val="00C47C71"/>
  </w:style>
  <w:style w:type="paragraph" w:customStyle="1" w:styleId="A1B8FF2FBA81754E94A0877353E3B13A">
    <w:name w:val="A1B8FF2FBA81754E94A0877353E3B13A"/>
    <w:rsid w:val="00C47C71"/>
  </w:style>
  <w:style w:type="paragraph" w:customStyle="1" w:styleId="101B5DECABBE1C478C548E86802D019F">
    <w:name w:val="101B5DECABBE1C478C548E86802D019F"/>
    <w:rsid w:val="00C47C71"/>
  </w:style>
  <w:style w:type="paragraph" w:customStyle="1" w:styleId="523686BF1C9C244B98E728C1CA515FF5">
    <w:name w:val="523686BF1C9C244B98E728C1CA515FF5"/>
    <w:rsid w:val="00C47C71"/>
  </w:style>
  <w:style w:type="paragraph" w:customStyle="1" w:styleId="F02689D0554BF744B464A26B0EEECBD4">
    <w:name w:val="F02689D0554BF744B464A26B0EEECBD4"/>
    <w:rsid w:val="00C47C71"/>
  </w:style>
  <w:style w:type="paragraph" w:customStyle="1" w:styleId="676EE0BB535E9C43B360255C96BABA8C">
    <w:name w:val="676EE0BB535E9C43B360255C96BABA8C"/>
    <w:rsid w:val="00C47C71"/>
  </w:style>
  <w:style w:type="paragraph" w:customStyle="1" w:styleId="10895DBC389E1A4AAF60B8DC333E8F07">
    <w:name w:val="10895DBC389E1A4AAF60B8DC333E8F07"/>
    <w:rsid w:val="00C47C71"/>
  </w:style>
  <w:style w:type="paragraph" w:customStyle="1" w:styleId="C4E043DE53817140970B772342DBAA03">
    <w:name w:val="C4E043DE53817140970B772342DBAA03"/>
    <w:rsid w:val="00C47C71"/>
  </w:style>
  <w:style w:type="paragraph" w:customStyle="1" w:styleId="5DB240D2265FB0459844CCCE44827343">
    <w:name w:val="5DB240D2265FB0459844CCCE44827343"/>
    <w:rsid w:val="00C47C71"/>
  </w:style>
  <w:style w:type="paragraph" w:customStyle="1" w:styleId="311C80B211C245B6ACA5B5F5151064BE">
    <w:name w:val="311C80B211C245B6ACA5B5F5151064BE"/>
    <w:rsid w:val="00236C0F"/>
    <w:pPr>
      <w:spacing w:after="200" w:line="276" w:lineRule="auto"/>
    </w:pPr>
    <w:rPr>
      <w:sz w:val="22"/>
      <w:szCs w:val="22"/>
      <w:lang w:eastAsia="fr-FR"/>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817CB-83D6-7245-8513-2C153E08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1465</Words>
  <Characters>8058</Characters>
  <Application>Microsoft Macintosh Word</Application>
  <DocSecurity>0</DocSecurity>
  <Lines>67</Lines>
  <Paragraphs>19</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Quand la quantification se prend pour la qualité ? Luc FOUARGE, 3/04/11</vt:lpstr>
      <vt:lpstr>Quand la quantification se prend pour la qualité ?</vt:lpstr>
      <vt:lpstr/>
    </vt:vector>
  </TitlesOfParts>
  <Company>coga</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Quand la quantification se prend pour la qualité ? Luc FOUARGE, 3/04/11</dc:title>
  <dc:subject/>
  <dc:creator>luc Fouarge</dc:creator>
  <cp:keywords/>
  <dc:description/>
  <cp:lastModifiedBy>luc Fouarge</cp:lastModifiedBy>
  <cp:revision>2</cp:revision>
  <dcterms:created xsi:type="dcterms:W3CDTF">2011-04-04T11:34:00Z</dcterms:created>
  <dcterms:modified xsi:type="dcterms:W3CDTF">2011-04-04T11:34:00Z</dcterms:modified>
</cp:coreProperties>
</file>